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EC" w:rsidRDefault="00A72D8C" w:rsidP="00A72D8C">
      <w:pPr>
        <w:jc w:val="center"/>
      </w:pPr>
      <w:r>
        <w:t>Syllabus</w:t>
      </w:r>
      <w:r>
        <w:rPr>
          <w:b/>
        </w:rPr>
        <w:t xml:space="preserve"> </w:t>
      </w:r>
      <w:r w:rsidRPr="00A72D8C">
        <w:t>for</w:t>
      </w:r>
      <w:r w:rsidRPr="00A72D8C">
        <w:rPr>
          <w:b/>
        </w:rPr>
        <w:t xml:space="preserve"> </w:t>
      </w:r>
      <w:r w:rsidR="00926B82">
        <w:rPr>
          <w:b/>
        </w:rPr>
        <w:t>School Year</w:t>
      </w:r>
      <w:r>
        <w:rPr>
          <w:b/>
        </w:rPr>
        <w:t xml:space="preserve"> 201</w:t>
      </w:r>
      <w:r w:rsidR="002342FD">
        <w:rPr>
          <w:b/>
        </w:rPr>
        <w:t>3-14</w:t>
      </w:r>
    </w:p>
    <w:p w:rsidR="00A72D8C" w:rsidRDefault="00A72D8C" w:rsidP="00A72D8C">
      <w:pPr>
        <w:jc w:val="center"/>
      </w:pPr>
      <w:r>
        <w:t>E Cubed Academy High School</w:t>
      </w:r>
    </w:p>
    <w:p w:rsidR="00A72D8C" w:rsidRDefault="00A72D8C" w:rsidP="00A72D8C">
      <w:pPr>
        <w:jc w:val="center"/>
      </w:pPr>
      <w:r>
        <w:t>A College Preparatory High School</w:t>
      </w:r>
    </w:p>
    <w:p w:rsidR="00A72D8C" w:rsidRPr="00926B82" w:rsidRDefault="00A72D8C" w:rsidP="00A72D8C">
      <w:pPr>
        <w:jc w:val="center"/>
        <w:rPr>
          <w:b/>
        </w:rPr>
      </w:pPr>
      <w:r w:rsidRPr="00926B82">
        <w:rPr>
          <w:b/>
        </w:rPr>
        <w:t>American Literature</w:t>
      </w:r>
    </w:p>
    <w:tbl>
      <w:tblPr>
        <w:tblStyle w:val="TableGrid"/>
        <w:tblW w:w="0" w:type="auto"/>
        <w:tblLook w:val="04A0"/>
      </w:tblPr>
      <w:tblGrid>
        <w:gridCol w:w="5688"/>
        <w:gridCol w:w="5220"/>
      </w:tblGrid>
      <w:tr w:rsidR="00A72D8C" w:rsidTr="00654E40">
        <w:tc>
          <w:tcPr>
            <w:tcW w:w="5688" w:type="dxa"/>
          </w:tcPr>
          <w:p w:rsidR="00A72D8C" w:rsidRDefault="007B6BA8" w:rsidP="00A72D8C">
            <w:r>
              <w:t>Mrs.</w:t>
            </w:r>
            <w:r w:rsidR="00A72D8C">
              <w:t xml:space="preserve"> Stephanie Morrison</w:t>
            </w:r>
          </w:p>
        </w:tc>
        <w:tc>
          <w:tcPr>
            <w:tcW w:w="5220" w:type="dxa"/>
          </w:tcPr>
          <w:p w:rsidR="00A72D8C" w:rsidRDefault="00A72D8C" w:rsidP="00A72D8C">
            <w:r>
              <w:t>401.456.0694</w:t>
            </w:r>
          </w:p>
        </w:tc>
      </w:tr>
      <w:tr w:rsidR="00A72D8C" w:rsidTr="00654E40">
        <w:tc>
          <w:tcPr>
            <w:tcW w:w="5688" w:type="dxa"/>
          </w:tcPr>
          <w:p w:rsidR="00A72D8C" w:rsidRDefault="00A72D8C" w:rsidP="00A72D8C">
            <w:r>
              <w:t>Room 141</w:t>
            </w:r>
          </w:p>
        </w:tc>
        <w:tc>
          <w:tcPr>
            <w:tcW w:w="5220" w:type="dxa"/>
          </w:tcPr>
          <w:p w:rsidR="00A72D8C" w:rsidRDefault="004C46D0" w:rsidP="00A72D8C">
            <w:hyperlink r:id="rId5" w:history="1">
              <w:r w:rsidR="00A72D8C" w:rsidRPr="002C628C">
                <w:rPr>
                  <w:rStyle w:val="Hyperlink"/>
                </w:rPr>
                <w:t>Stephanie.Morrison@ppsd.org</w:t>
              </w:r>
            </w:hyperlink>
          </w:p>
        </w:tc>
      </w:tr>
      <w:tr w:rsidR="00A72D8C" w:rsidTr="00654E40">
        <w:tc>
          <w:tcPr>
            <w:tcW w:w="5688" w:type="dxa"/>
          </w:tcPr>
          <w:p w:rsidR="00A72D8C" w:rsidRDefault="00A72D8C" w:rsidP="00A3773B">
            <w:r w:rsidRPr="00926B82">
              <w:rPr>
                <w:b/>
              </w:rPr>
              <w:t>After-School Hrs</w:t>
            </w:r>
            <w:r>
              <w:t xml:space="preserve">: </w:t>
            </w:r>
            <w:r w:rsidR="00A3773B">
              <w:t>Wednesdays</w:t>
            </w:r>
          </w:p>
        </w:tc>
        <w:tc>
          <w:tcPr>
            <w:tcW w:w="5220" w:type="dxa"/>
          </w:tcPr>
          <w:p w:rsidR="00A72D8C" w:rsidRDefault="00A72D8C" w:rsidP="00926B82">
            <w:r>
              <w:t>http://s</w:t>
            </w:r>
            <w:r w:rsidR="00926B82">
              <w:t>j</w:t>
            </w:r>
            <w:r>
              <w:t>morrison.</w:t>
            </w:r>
            <w:r w:rsidR="00926B82">
              <w:t>weebly.com</w:t>
            </w:r>
          </w:p>
        </w:tc>
      </w:tr>
    </w:tbl>
    <w:p w:rsidR="00654E40" w:rsidRDefault="00654E40" w:rsidP="00A72D8C">
      <w:pPr>
        <w:rPr>
          <w:b/>
        </w:rPr>
      </w:pPr>
    </w:p>
    <w:p w:rsidR="00A72D8C" w:rsidRDefault="00A72D8C" w:rsidP="00A72D8C">
      <w:r w:rsidRPr="00D659D8">
        <w:rPr>
          <w:b/>
        </w:rPr>
        <w:t>Texts</w:t>
      </w:r>
      <w:r>
        <w:t>:</w:t>
      </w:r>
    </w:p>
    <w:p w:rsidR="00A72D8C" w:rsidRDefault="00A72D8C" w:rsidP="007B6BA8">
      <w:pPr>
        <w:pStyle w:val="NoSpacing"/>
        <w:ind w:left="720"/>
      </w:pPr>
      <w:proofErr w:type="gramStart"/>
      <w:r w:rsidRPr="00A72D8C">
        <w:rPr>
          <w:i/>
        </w:rPr>
        <w:t>American Literature</w:t>
      </w:r>
      <w:r>
        <w:t>.</w:t>
      </w:r>
      <w:proofErr w:type="gramEnd"/>
      <w:r>
        <w:t xml:space="preserve"> Glencoe McGraw-Hill, 2009.</w:t>
      </w:r>
    </w:p>
    <w:p w:rsidR="00A3773B" w:rsidRDefault="00A72D8C" w:rsidP="00A3773B">
      <w:pPr>
        <w:pStyle w:val="NoSpacing"/>
        <w:ind w:left="720"/>
      </w:pPr>
      <w:proofErr w:type="spellStart"/>
      <w:r>
        <w:t>Alexie</w:t>
      </w:r>
      <w:proofErr w:type="spellEnd"/>
      <w:r>
        <w:t xml:space="preserve">, Sherman. </w:t>
      </w:r>
      <w:proofErr w:type="gramStart"/>
      <w:r w:rsidRPr="00A72D8C">
        <w:rPr>
          <w:i/>
        </w:rPr>
        <w:t>The Absolutely True Diary of a Part Time Indian</w:t>
      </w:r>
      <w:r>
        <w:t>.</w:t>
      </w:r>
      <w:proofErr w:type="gramEnd"/>
    </w:p>
    <w:p w:rsidR="00A72D8C" w:rsidRDefault="00A72D8C" w:rsidP="007B6BA8">
      <w:pPr>
        <w:pStyle w:val="NoSpacing"/>
        <w:ind w:left="720"/>
      </w:pPr>
      <w:r>
        <w:t xml:space="preserve">Butler, Octavia. </w:t>
      </w:r>
      <w:proofErr w:type="gramStart"/>
      <w:r w:rsidRPr="00A72D8C">
        <w:rPr>
          <w:i/>
        </w:rPr>
        <w:t>Kindred</w:t>
      </w:r>
      <w:r>
        <w:t>.</w:t>
      </w:r>
      <w:proofErr w:type="gramEnd"/>
    </w:p>
    <w:p w:rsidR="00A72D8C" w:rsidRDefault="00A72D8C" w:rsidP="007B6BA8">
      <w:pPr>
        <w:pStyle w:val="NoSpacing"/>
        <w:ind w:left="720"/>
      </w:pPr>
      <w:r>
        <w:t xml:space="preserve">Chopin, Kate. </w:t>
      </w:r>
      <w:proofErr w:type="gramStart"/>
      <w:r w:rsidRPr="00A72D8C">
        <w:rPr>
          <w:i/>
        </w:rPr>
        <w:t>The Awakening</w:t>
      </w:r>
      <w:r>
        <w:t>.</w:t>
      </w:r>
      <w:proofErr w:type="gramEnd"/>
    </w:p>
    <w:p w:rsidR="00654E40" w:rsidRDefault="00654E40" w:rsidP="007B6BA8">
      <w:pPr>
        <w:pStyle w:val="NoSpacing"/>
        <w:ind w:left="720"/>
      </w:pPr>
      <w:r>
        <w:t xml:space="preserve">Fitzgerald, F. Scott. </w:t>
      </w:r>
      <w:r w:rsidRPr="00654E40">
        <w:rPr>
          <w:i/>
        </w:rPr>
        <w:t>The Great Gatsby</w:t>
      </w:r>
    </w:p>
    <w:p w:rsidR="00654E40" w:rsidRDefault="00654E40" w:rsidP="007B6BA8">
      <w:pPr>
        <w:pStyle w:val="NoSpacing"/>
        <w:ind w:left="720"/>
      </w:pPr>
      <w:r>
        <w:t xml:space="preserve">Wilson, August. </w:t>
      </w:r>
      <w:r w:rsidRPr="00654E40">
        <w:rPr>
          <w:i/>
        </w:rPr>
        <w:t>Fences</w:t>
      </w:r>
    </w:p>
    <w:p w:rsidR="00654E40" w:rsidRDefault="00654E40" w:rsidP="007B6BA8">
      <w:pPr>
        <w:pStyle w:val="NoSpacing"/>
        <w:ind w:left="720"/>
      </w:pPr>
      <w:r>
        <w:t>Rodriguez, Luis J</w:t>
      </w:r>
      <w:r w:rsidR="00FB38E3">
        <w:t xml:space="preserve">. </w:t>
      </w:r>
      <w:r w:rsidRPr="00654E40">
        <w:rPr>
          <w:i/>
        </w:rPr>
        <w:t xml:space="preserve">Always Running: La Vida </w:t>
      </w:r>
      <w:proofErr w:type="spellStart"/>
      <w:r w:rsidRPr="00654E40">
        <w:rPr>
          <w:i/>
        </w:rPr>
        <w:t>Loca</w:t>
      </w:r>
      <w:proofErr w:type="spellEnd"/>
      <w:r>
        <w:rPr>
          <w:i/>
        </w:rPr>
        <w:t>:</w:t>
      </w:r>
      <w:r w:rsidRPr="00654E40">
        <w:rPr>
          <w:i/>
        </w:rPr>
        <w:t xml:space="preserve"> Gang Days in LA</w:t>
      </w:r>
    </w:p>
    <w:p w:rsidR="007B6BA8" w:rsidRDefault="007B6BA8" w:rsidP="007B6BA8">
      <w:pPr>
        <w:pStyle w:val="NoSpacing"/>
        <w:ind w:left="720"/>
      </w:pPr>
    </w:p>
    <w:p w:rsidR="00A72D8C" w:rsidRDefault="00A72D8C" w:rsidP="00A72D8C">
      <w:r w:rsidRPr="00D659D8">
        <w:rPr>
          <w:b/>
        </w:rPr>
        <w:t>Course Description</w:t>
      </w:r>
      <w:r>
        <w:t>:</w:t>
      </w:r>
    </w:p>
    <w:p w:rsidR="00A72D8C" w:rsidRDefault="008278B3" w:rsidP="007B6BA8">
      <w:pPr>
        <w:pStyle w:val="NoSpacing"/>
        <w:ind w:left="720"/>
      </w:pPr>
      <w:r>
        <w:t xml:space="preserve">This course is a chronological/timeline approach to the study of American Literature. Units focus on a range of literature and informational texts, writing, speaking and listening skills, and language skills. In the first semester, students will study Native American, African American, and classic literature, as well as important and seminal documents in US History. We will cover all three types of writing, informational, argumentative, and narrative, and use technology to find and present information. </w:t>
      </w:r>
      <w:r w:rsidR="000F5F77">
        <w:t>Students will have opportunities to practice their presentation skills, as well as improve their listening comprehension. Language skills, in preparation for college level and career, will be explicitly taught.</w:t>
      </w:r>
    </w:p>
    <w:p w:rsidR="000F5F77" w:rsidRDefault="000F5F77" w:rsidP="007B6BA8">
      <w:pPr>
        <w:pStyle w:val="NoSpacing"/>
        <w:ind w:left="720"/>
      </w:pPr>
    </w:p>
    <w:p w:rsidR="004A0304" w:rsidRDefault="00A72D8C" w:rsidP="00926B82">
      <w:pPr>
        <w:ind w:left="720" w:hanging="720"/>
      </w:pPr>
      <w:r w:rsidRPr="00D659D8">
        <w:rPr>
          <w:b/>
        </w:rPr>
        <w:t>Common Core State Standards Addressed</w:t>
      </w:r>
      <w:r>
        <w:t>:</w:t>
      </w:r>
      <w:r w:rsidR="00926B82">
        <w:t xml:space="preserve"> All Common Core State Standards for the grade 11-12 band are addressed over the course of the year. </w:t>
      </w:r>
    </w:p>
    <w:p w:rsidR="00A72D8C" w:rsidRDefault="00A72D8C" w:rsidP="00D659D8">
      <w:r w:rsidRPr="00D659D8">
        <w:rPr>
          <w:b/>
        </w:rPr>
        <w:t>Requirements</w:t>
      </w:r>
      <w:r>
        <w:t>:</w:t>
      </w:r>
      <w:r w:rsidR="00D659D8">
        <w:t xml:space="preserve"> </w:t>
      </w:r>
      <w:r w:rsidR="004A0304">
        <w:t>Students will need the following:</w:t>
      </w:r>
    </w:p>
    <w:p w:rsidR="004A0304" w:rsidRDefault="004A0304" w:rsidP="004A0304">
      <w:pPr>
        <w:pStyle w:val="NoSpacing"/>
        <w:ind w:left="720"/>
      </w:pPr>
      <w:r>
        <w:t>Pens -black or blue, and red</w:t>
      </w:r>
    </w:p>
    <w:p w:rsidR="004A0304" w:rsidRDefault="004A0304" w:rsidP="004A0304">
      <w:pPr>
        <w:pStyle w:val="NoSpacing"/>
        <w:ind w:left="720"/>
      </w:pPr>
      <w:r>
        <w:t xml:space="preserve">A </w:t>
      </w:r>
      <w:r w:rsidR="00D659D8">
        <w:t xml:space="preserve">single subject </w:t>
      </w:r>
      <w:r>
        <w:t>n</w:t>
      </w:r>
      <w:r w:rsidR="00D659D8">
        <w:t xml:space="preserve">otebook or composition book, </w:t>
      </w:r>
      <w:r w:rsidR="00926B82">
        <w:t>for taking notes in class</w:t>
      </w:r>
    </w:p>
    <w:p w:rsidR="00D659D8" w:rsidRDefault="00D659D8" w:rsidP="004A0304">
      <w:pPr>
        <w:pStyle w:val="NoSpacing"/>
        <w:ind w:left="720"/>
      </w:pPr>
      <w:r>
        <w:t>Binder or storage folder for materials and handouts</w:t>
      </w:r>
    </w:p>
    <w:p w:rsidR="00D659D8" w:rsidRDefault="00D659D8" w:rsidP="004A0304">
      <w:pPr>
        <w:pStyle w:val="NoSpacing"/>
        <w:ind w:left="720"/>
      </w:pPr>
      <w:r>
        <w:t>Sticky Notes/Post it notes</w:t>
      </w:r>
    </w:p>
    <w:p w:rsidR="00D659D8" w:rsidRDefault="00D659D8" w:rsidP="004A0304">
      <w:pPr>
        <w:pStyle w:val="NoSpacing"/>
        <w:ind w:left="720"/>
      </w:pPr>
      <w:r>
        <w:t>Highlighters</w:t>
      </w:r>
    </w:p>
    <w:p w:rsidR="00D659D8" w:rsidRDefault="00D659D8" w:rsidP="004A0304">
      <w:pPr>
        <w:pStyle w:val="NoSpacing"/>
        <w:ind w:left="720"/>
      </w:pPr>
      <w:r>
        <w:t>Flash drive/storage device</w:t>
      </w:r>
    </w:p>
    <w:p w:rsidR="004A0304" w:rsidRDefault="004A0304" w:rsidP="004A0304">
      <w:pPr>
        <w:pStyle w:val="NoSpacing"/>
        <w:ind w:left="720"/>
      </w:pPr>
    </w:p>
    <w:p w:rsidR="00FB38E3" w:rsidRDefault="00FB38E3">
      <w:pPr>
        <w:rPr>
          <w:b/>
        </w:rPr>
      </w:pPr>
      <w:r>
        <w:rPr>
          <w:b/>
        </w:rPr>
        <w:br w:type="page"/>
      </w:r>
    </w:p>
    <w:p w:rsidR="00A72D8C" w:rsidRDefault="00A72D8C" w:rsidP="00A72D8C">
      <w:r w:rsidRPr="00D659D8">
        <w:rPr>
          <w:b/>
        </w:rPr>
        <w:lastRenderedPageBreak/>
        <w:t>Resources</w:t>
      </w:r>
      <w:r>
        <w:t>:</w:t>
      </w:r>
    </w:p>
    <w:p w:rsidR="00A72D8C" w:rsidRDefault="00CB7730" w:rsidP="007B6BA8">
      <w:pPr>
        <w:pStyle w:val="NoSpacing"/>
        <w:ind w:left="720"/>
      </w:pPr>
      <w:r>
        <w:t xml:space="preserve">All students will need access to a </w:t>
      </w:r>
      <w:proofErr w:type="gramStart"/>
      <w:r>
        <w:t>standard</w:t>
      </w:r>
      <w:proofErr w:type="gramEnd"/>
      <w:r>
        <w:t xml:space="preserve"> English dictionary. </w:t>
      </w:r>
    </w:p>
    <w:p w:rsidR="00CB7730" w:rsidRDefault="00CB7730" w:rsidP="007B6BA8">
      <w:pPr>
        <w:pStyle w:val="NoSpacing"/>
        <w:ind w:left="720"/>
      </w:pPr>
      <w:r>
        <w:t>Most resources will be available online. See http://</w:t>
      </w:r>
      <w:r w:rsidR="00654E40">
        <w:t>sjmorrison</w:t>
      </w:r>
      <w:r>
        <w:t>.</w:t>
      </w:r>
      <w:r w:rsidR="00654E40">
        <w:t>weebly.com</w:t>
      </w:r>
      <w:r>
        <w:t xml:space="preserve"> for more information</w:t>
      </w:r>
    </w:p>
    <w:p w:rsidR="00CB7730" w:rsidRDefault="00CB7730" w:rsidP="007B6BA8">
      <w:pPr>
        <w:pStyle w:val="NoSpacing"/>
        <w:ind w:left="720"/>
      </w:pPr>
    </w:p>
    <w:p w:rsidR="00A72D8C" w:rsidRPr="00FB38E3" w:rsidRDefault="00A72D8C" w:rsidP="00A72D8C">
      <w:pPr>
        <w:rPr>
          <w:b/>
        </w:rPr>
      </w:pPr>
      <w:r w:rsidRPr="00D659D8">
        <w:rPr>
          <w:b/>
        </w:rPr>
        <w:t>Evaluation</w:t>
      </w:r>
      <w:r>
        <w:t>:</w:t>
      </w:r>
    </w:p>
    <w:p w:rsidR="00A72D8C" w:rsidRDefault="0065258A" w:rsidP="007B6BA8">
      <w:pPr>
        <w:pStyle w:val="NoSpacing"/>
        <w:ind w:left="720"/>
      </w:pPr>
      <w:r>
        <w:t>Student will be evaluated using the following weights:</w:t>
      </w:r>
    </w:p>
    <w:p w:rsidR="0065258A" w:rsidRDefault="0065258A" w:rsidP="007B6BA8">
      <w:pPr>
        <w:pStyle w:val="NoSpacing"/>
        <w:ind w:left="720"/>
      </w:pPr>
      <w:r>
        <w:tab/>
        <w:t>Essays and Tests- 40%</w:t>
      </w:r>
    </w:p>
    <w:p w:rsidR="00654E40" w:rsidRDefault="00654E40" w:rsidP="00654E40">
      <w:pPr>
        <w:pStyle w:val="NoSpacing"/>
        <w:ind w:left="720" w:firstLine="720"/>
      </w:pPr>
      <w:r>
        <w:t>Journal/Notebook and In Class Assignments- 30%</w:t>
      </w:r>
    </w:p>
    <w:p w:rsidR="0065258A" w:rsidRDefault="0065258A" w:rsidP="00654E40">
      <w:pPr>
        <w:pStyle w:val="NoSpacing"/>
        <w:ind w:left="1440"/>
      </w:pPr>
      <w:r>
        <w:t>Homework and Handouts- 15%</w:t>
      </w:r>
    </w:p>
    <w:p w:rsidR="0065258A" w:rsidRDefault="0065258A" w:rsidP="0065258A">
      <w:pPr>
        <w:pStyle w:val="NoSpacing"/>
        <w:ind w:left="720" w:firstLine="720"/>
      </w:pPr>
      <w:r>
        <w:t>Quizzes- 15%</w:t>
      </w:r>
    </w:p>
    <w:p w:rsidR="00D659D8" w:rsidRDefault="00D659D8" w:rsidP="007B6BA8">
      <w:pPr>
        <w:pStyle w:val="NoSpacing"/>
        <w:ind w:left="720"/>
      </w:pPr>
    </w:p>
    <w:p w:rsidR="00A72D8C" w:rsidRDefault="00A72D8C" w:rsidP="00A72D8C">
      <w:r w:rsidRPr="00D659D8">
        <w:rPr>
          <w:b/>
        </w:rPr>
        <w:t>Course Schedule</w:t>
      </w:r>
      <w:r>
        <w:t>:</w:t>
      </w:r>
    </w:p>
    <w:tbl>
      <w:tblPr>
        <w:tblStyle w:val="TableGrid"/>
        <w:tblW w:w="0" w:type="auto"/>
        <w:tblLook w:val="04A0"/>
      </w:tblPr>
      <w:tblGrid>
        <w:gridCol w:w="738"/>
        <w:gridCol w:w="3150"/>
        <w:gridCol w:w="3294"/>
        <w:gridCol w:w="3726"/>
      </w:tblGrid>
      <w:tr w:rsidR="00A72D8C" w:rsidRPr="00CB7730" w:rsidTr="00654E40">
        <w:tc>
          <w:tcPr>
            <w:tcW w:w="738" w:type="dxa"/>
          </w:tcPr>
          <w:p w:rsidR="00A72D8C" w:rsidRPr="00CB7730" w:rsidRDefault="00A72D8C" w:rsidP="00A72D8C">
            <w:pPr>
              <w:rPr>
                <w:b/>
                <w:i/>
              </w:rPr>
            </w:pPr>
            <w:r w:rsidRPr="00CB7730">
              <w:rPr>
                <w:b/>
                <w:i/>
              </w:rPr>
              <w:t>Unit</w:t>
            </w:r>
          </w:p>
        </w:tc>
        <w:tc>
          <w:tcPr>
            <w:tcW w:w="3150" w:type="dxa"/>
          </w:tcPr>
          <w:p w:rsidR="00A72D8C" w:rsidRPr="00CB7730" w:rsidRDefault="00A72D8C" w:rsidP="00A72D8C">
            <w:pPr>
              <w:rPr>
                <w:b/>
                <w:i/>
              </w:rPr>
            </w:pPr>
            <w:r w:rsidRPr="00CB7730">
              <w:rPr>
                <w:b/>
                <w:i/>
              </w:rPr>
              <w:t>Topic</w:t>
            </w:r>
          </w:p>
        </w:tc>
        <w:tc>
          <w:tcPr>
            <w:tcW w:w="3294" w:type="dxa"/>
          </w:tcPr>
          <w:p w:rsidR="00A72D8C" w:rsidRPr="00CB7730" w:rsidRDefault="00A72D8C" w:rsidP="00A72D8C">
            <w:pPr>
              <w:rPr>
                <w:b/>
                <w:i/>
              </w:rPr>
            </w:pPr>
            <w:r w:rsidRPr="00CB7730">
              <w:rPr>
                <w:b/>
                <w:i/>
              </w:rPr>
              <w:t>Required Reading</w:t>
            </w:r>
          </w:p>
        </w:tc>
        <w:tc>
          <w:tcPr>
            <w:tcW w:w="3726" w:type="dxa"/>
          </w:tcPr>
          <w:p w:rsidR="00A72D8C" w:rsidRPr="00CB7730" w:rsidRDefault="00CB7730" w:rsidP="00A72D8C">
            <w:pPr>
              <w:rPr>
                <w:b/>
                <w:i/>
              </w:rPr>
            </w:pPr>
            <w:r w:rsidRPr="00CB7730">
              <w:rPr>
                <w:b/>
                <w:i/>
              </w:rPr>
              <w:t xml:space="preserve">Assessments </w:t>
            </w:r>
          </w:p>
        </w:tc>
      </w:tr>
      <w:tr w:rsidR="00D659D8" w:rsidTr="00654E40">
        <w:trPr>
          <w:trHeight w:val="782"/>
        </w:trPr>
        <w:tc>
          <w:tcPr>
            <w:tcW w:w="738" w:type="dxa"/>
          </w:tcPr>
          <w:p w:rsidR="00D659D8" w:rsidRDefault="00D659D8" w:rsidP="00A72D8C">
            <w:r>
              <w:t>1.1</w:t>
            </w:r>
          </w:p>
        </w:tc>
        <w:tc>
          <w:tcPr>
            <w:tcW w:w="3150" w:type="dxa"/>
          </w:tcPr>
          <w:p w:rsidR="00D659D8" w:rsidRDefault="00D659D8" w:rsidP="00A3773B">
            <w:r>
              <w:t>Native American Experience</w:t>
            </w:r>
            <w:r w:rsidR="008278B3">
              <w:t xml:space="preserve"> and Evolving Cultural Identities</w:t>
            </w:r>
          </w:p>
        </w:tc>
        <w:tc>
          <w:tcPr>
            <w:tcW w:w="3294" w:type="dxa"/>
          </w:tcPr>
          <w:p w:rsidR="00D659D8" w:rsidRPr="00912462" w:rsidRDefault="00912462" w:rsidP="00A72D8C">
            <w:pPr>
              <w:rPr>
                <w:i/>
                <w:sz w:val="18"/>
              </w:rPr>
            </w:pPr>
            <w:r w:rsidRPr="00912462">
              <w:rPr>
                <w:i/>
                <w:sz w:val="18"/>
              </w:rPr>
              <w:t>Absolutely True Diary of a Part Time Indian</w:t>
            </w:r>
          </w:p>
          <w:p w:rsidR="00912462" w:rsidRPr="00912462" w:rsidRDefault="00CB7730" w:rsidP="00A72D8C">
            <w:pPr>
              <w:rPr>
                <w:sz w:val="18"/>
              </w:rPr>
            </w:pPr>
            <w:r>
              <w:rPr>
                <w:sz w:val="18"/>
              </w:rPr>
              <w:t>Various Native American myths</w:t>
            </w:r>
          </w:p>
        </w:tc>
        <w:tc>
          <w:tcPr>
            <w:tcW w:w="3726" w:type="dxa"/>
          </w:tcPr>
          <w:p w:rsidR="008278B3" w:rsidRDefault="00912462" w:rsidP="00A72D8C">
            <w:pPr>
              <w:rPr>
                <w:sz w:val="18"/>
              </w:rPr>
            </w:pPr>
            <w:r w:rsidRPr="00912462">
              <w:rPr>
                <w:sz w:val="18"/>
              </w:rPr>
              <w:t>Reader Response Journal</w:t>
            </w:r>
          </w:p>
          <w:p w:rsidR="008278B3" w:rsidRPr="00912462" w:rsidRDefault="008278B3" w:rsidP="00A72D8C">
            <w:pPr>
              <w:rPr>
                <w:sz w:val="18"/>
              </w:rPr>
            </w:pPr>
            <w:r>
              <w:rPr>
                <w:sz w:val="18"/>
              </w:rPr>
              <w:t>Group Discussions</w:t>
            </w:r>
          </w:p>
          <w:p w:rsidR="00D659D8" w:rsidRPr="00912462" w:rsidRDefault="00912462" w:rsidP="00A72D8C">
            <w:pPr>
              <w:rPr>
                <w:sz w:val="18"/>
              </w:rPr>
            </w:pPr>
            <w:r w:rsidRPr="00912462">
              <w:rPr>
                <w:sz w:val="18"/>
              </w:rPr>
              <w:t>Write a Myth</w:t>
            </w:r>
          </w:p>
        </w:tc>
      </w:tr>
      <w:tr w:rsidR="00D659D8" w:rsidTr="00654E40">
        <w:trPr>
          <w:trHeight w:val="710"/>
        </w:trPr>
        <w:tc>
          <w:tcPr>
            <w:tcW w:w="738" w:type="dxa"/>
            <w:tcBorders>
              <w:bottom w:val="single" w:sz="4" w:space="0" w:color="auto"/>
            </w:tcBorders>
          </w:tcPr>
          <w:p w:rsidR="00D659D8" w:rsidRDefault="00D659D8" w:rsidP="00A72D8C">
            <w:r>
              <w:t>1.2</w:t>
            </w:r>
          </w:p>
        </w:tc>
        <w:tc>
          <w:tcPr>
            <w:tcW w:w="3150" w:type="dxa"/>
            <w:tcBorders>
              <w:bottom w:val="single" w:sz="4" w:space="0" w:color="auto"/>
            </w:tcBorders>
          </w:tcPr>
          <w:p w:rsidR="00D659D8" w:rsidRDefault="00D659D8" w:rsidP="008278B3">
            <w:r>
              <w:t xml:space="preserve">The Puritan </w:t>
            </w:r>
            <w:r w:rsidR="008278B3">
              <w:t>Tradition</w:t>
            </w:r>
          </w:p>
        </w:tc>
        <w:tc>
          <w:tcPr>
            <w:tcW w:w="3294" w:type="dxa"/>
            <w:tcBorders>
              <w:bottom w:val="single" w:sz="4" w:space="0" w:color="auto"/>
            </w:tcBorders>
          </w:tcPr>
          <w:p w:rsidR="00D659D8" w:rsidRDefault="00912462" w:rsidP="00A72D8C">
            <w:pPr>
              <w:rPr>
                <w:i/>
                <w:sz w:val="18"/>
              </w:rPr>
            </w:pPr>
            <w:r w:rsidRPr="00912462">
              <w:rPr>
                <w:i/>
                <w:sz w:val="18"/>
              </w:rPr>
              <w:t>The Crucible</w:t>
            </w:r>
          </w:p>
          <w:p w:rsidR="00CB7730" w:rsidRPr="00CB7730" w:rsidRDefault="00CB7730" w:rsidP="00A72D8C">
            <w:pPr>
              <w:rPr>
                <w:sz w:val="18"/>
              </w:rPr>
            </w:pPr>
            <w:r>
              <w:rPr>
                <w:sz w:val="18"/>
              </w:rPr>
              <w:t>“Sinners in the Hands of an Angry God”</w:t>
            </w:r>
          </w:p>
        </w:tc>
        <w:tc>
          <w:tcPr>
            <w:tcW w:w="3726" w:type="dxa"/>
            <w:tcBorders>
              <w:bottom w:val="single" w:sz="4" w:space="0" w:color="auto"/>
            </w:tcBorders>
          </w:tcPr>
          <w:p w:rsidR="00912462" w:rsidRDefault="00912462" w:rsidP="00A72D8C">
            <w:pPr>
              <w:rPr>
                <w:sz w:val="18"/>
              </w:rPr>
            </w:pPr>
            <w:r>
              <w:rPr>
                <w:sz w:val="18"/>
              </w:rPr>
              <w:t>Reader Response Journal</w:t>
            </w:r>
          </w:p>
          <w:p w:rsidR="008278B3" w:rsidRDefault="008278B3" w:rsidP="00A72D8C">
            <w:pPr>
              <w:rPr>
                <w:sz w:val="18"/>
              </w:rPr>
            </w:pPr>
            <w:r>
              <w:rPr>
                <w:sz w:val="18"/>
              </w:rPr>
              <w:t>Group Discussions</w:t>
            </w:r>
          </w:p>
          <w:p w:rsidR="00D659D8" w:rsidRPr="00912462" w:rsidRDefault="00912462" w:rsidP="00912462">
            <w:pPr>
              <w:rPr>
                <w:sz w:val="18"/>
              </w:rPr>
            </w:pPr>
            <w:r>
              <w:rPr>
                <w:sz w:val="18"/>
              </w:rPr>
              <w:t>Response to Lit -Argument</w:t>
            </w:r>
          </w:p>
        </w:tc>
      </w:tr>
      <w:tr w:rsidR="00D659D8" w:rsidTr="00654E40">
        <w:trPr>
          <w:trHeight w:val="980"/>
        </w:trPr>
        <w:tc>
          <w:tcPr>
            <w:tcW w:w="738" w:type="dxa"/>
            <w:tcBorders>
              <w:bottom w:val="double" w:sz="4" w:space="0" w:color="auto"/>
            </w:tcBorders>
          </w:tcPr>
          <w:p w:rsidR="00D659D8" w:rsidRDefault="00D659D8" w:rsidP="00A72D8C">
            <w:r>
              <w:t>1.3</w:t>
            </w:r>
          </w:p>
        </w:tc>
        <w:tc>
          <w:tcPr>
            <w:tcW w:w="3150" w:type="dxa"/>
            <w:tcBorders>
              <w:bottom w:val="double" w:sz="4" w:space="0" w:color="auto"/>
            </w:tcBorders>
          </w:tcPr>
          <w:p w:rsidR="00D659D8" w:rsidRDefault="00D659D8" w:rsidP="00A72D8C">
            <w:r>
              <w:t>Revolutionary Non-fiction</w:t>
            </w:r>
          </w:p>
        </w:tc>
        <w:tc>
          <w:tcPr>
            <w:tcW w:w="3294" w:type="dxa"/>
            <w:tcBorders>
              <w:bottom w:val="double" w:sz="4" w:space="0" w:color="auto"/>
            </w:tcBorders>
          </w:tcPr>
          <w:p w:rsidR="00D659D8" w:rsidRPr="00912462" w:rsidRDefault="00CB7730" w:rsidP="00A72D8C">
            <w:pPr>
              <w:rPr>
                <w:sz w:val="18"/>
              </w:rPr>
            </w:pPr>
            <w:r>
              <w:rPr>
                <w:sz w:val="18"/>
              </w:rPr>
              <w:t xml:space="preserve">“The </w:t>
            </w:r>
            <w:r w:rsidR="00912462" w:rsidRPr="00912462">
              <w:rPr>
                <w:sz w:val="18"/>
              </w:rPr>
              <w:t>Declaration of Independence</w:t>
            </w:r>
            <w:r>
              <w:rPr>
                <w:sz w:val="18"/>
              </w:rPr>
              <w:t>” and other readings</w:t>
            </w:r>
          </w:p>
        </w:tc>
        <w:tc>
          <w:tcPr>
            <w:tcW w:w="3726" w:type="dxa"/>
            <w:tcBorders>
              <w:bottom w:val="double" w:sz="4" w:space="0" w:color="auto"/>
            </w:tcBorders>
          </w:tcPr>
          <w:p w:rsidR="00912462" w:rsidRDefault="00912462" w:rsidP="00A72D8C">
            <w:pPr>
              <w:rPr>
                <w:sz w:val="18"/>
              </w:rPr>
            </w:pPr>
            <w:r>
              <w:rPr>
                <w:sz w:val="18"/>
              </w:rPr>
              <w:t>Reader Response Journal</w:t>
            </w:r>
          </w:p>
          <w:p w:rsidR="008278B3" w:rsidRDefault="008278B3" w:rsidP="00A72D8C">
            <w:pPr>
              <w:rPr>
                <w:sz w:val="18"/>
              </w:rPr>
            </w:pPr>
            <w:r>
              <w:rPr>
                <w:sz w:val="18"/>
              </w:rPr>
              <w:t>Group Discussions</w:t>
            </w:r>
          </w:p>
          <w:p w:rsidR="005247C1" w:rsidRDefault="005247C1" w:rsidP="00A72D8C">
            <w:pPr>
              <w:rPr>
                <w:sz w:val="18"/>
              </w:rPr>
            </w:pPr>
            <w:r>
              <w:rPr>
                <w:sz w:val="18"/>
              </w:rPr>
              <w:t>Short written responses and speeches</w:t>
            </w:r>
          </w:p>
          <w:p w:rsidR="00D659D8" w:rsidRPr="00912462" w:rsidRDefault="00912462" w:rsidP="00A72D8C">
            <w:pPr>
              <w:rPr>
                <w:sz w:val="18"/>
              </w:rPr>
            </w:pPr>
            <w:r>
              <w:rPr>
                <w:sz w:val="18"/>
              </w:rPr>
              <w:t>Write a Speech</w:t>
            </w:r>
            <w:r w:rsidR="00CB7730">
              <w:rPr>
                <w:sz w:val="18"/>
              </w:rPr>
              <w:t>/Presentation</w:t>
            </w:r>
          </w:p>
        </w:tc>
      </w:tr>
      <w:tr w:rsidR="00D659D8" w:rsidTr="00654E40">
        <w:trPr>
          <w:trHeight w:val="969"/>
        </w:trPr>
        <w:tc>
          <w:tcPr>
            <w:tcW w:w="738" w:type="dxa"/>
            <w:tcBorders>
              <w:top w:val="double" w:sz="4" w:space="0" w:color="auto"/>
            </w:tcBorders>
          </w:tcPr>
          <w:p w:rsidR="00D659D8" w:rsidRDefault="00912462" w:rsidP="00A72D8C">
            <w:r>
              <w:t>2.1</w:t>
            </w:r>
          </w:p>
        </w:tc>
        <w:tc>
          <w:tcPr>
            <w:tcW w:w="3150" w:type="dxa"/>
            <w:tcBorders>
              <w:top w:val="double" w:sz="4" w:space="0" w:color="auto"/>
            </w:tcBorders>
          </w:tcPr>
          <w:p w:rsidR="00D659D8" w:rsidRDefault="00912462" w:rsidP="00A72D8C">
            <w:r>
              <w:t>Roots of Romanticism</w:t>
            </w:r>
          </w:p>
        </w:tc>
        <w:tc>
          <w:tcPr>
            <w:tcW w:w="3294" w:type="dxa"/>
            <w:tcBorders>
              <w:top w:val="double" w:sz="4" w:space="0" w:color="auto"/>
            </w:tcBorders>
          </w:tcPr>
          <w:p w:rsidR="00912462" w:rsidRDefault="00CB7730" w:rsidP="00A72D8C">
            <w:pPr>
              <w:rPr>
                <w:sz w:val="18"/>
              </w:rPr>
            </w:pPr>
            <w:r>
              <w:rPr>
                <w:sz w:val="18"/>
              </w:rPr>
              <w:t xml:space="preserve"> From </w:t>
            </w:r>
            <w:r w:rsidR="00912462" w:rsidRPr="00CB7730">
              <w:rPr>
                <w:i/>
                <w:sz w:val="18"/>
              </w:rPr>
              <w:t>Walden</w:t>
            </w:r>
            <w:r>
              <w:rPr>
                <w:i/>
                <w:sz w:val="18"/>
              </w:rPr>
              <w:t xml:space="preserve"> </w:t>
            </w:r>
            <w:r>
              <w:rPr>
                <w:sz w:val="18"/>
              </w:rPr>
              <w:t>and “</w:t>
            </w:r>
            <w:r w:rsidR="00912462">
              <w:rPr>
                <w:sz w:val="18"/>
              </w:rPr>
              <w:t>Nature</w:t>
            </w:r>
            <w:r>
              <w:rPr>
                <w:sz w:val="18"/>
              </w:rPr>
              <w:t>”</w:t>
            </w:r>
          </w:p>
          <w:p w:rsidR="00912462" w:rsidRDefault="00CB7730" w:rsidP="00A72D8C">
            <w:pPr>
              <w:rPr>
                <w:sz w:val="18"/>
              </w:rPr>
            </w:pPr>
            <w:r>
              <w:rPr>
                <w:sz w:val="18"/>
              </w:rPr>
              <w:t>“</w:t>
            </w:r>
            <w:r w:rsidR="00912462">
              <w:rPr>
                <w:sz w:val="18"/>
              </w:rPr>
              <w:t>Civil Disobedience</w:t>
            </w:r>
            <w:r>
              <w:rPr>
                <w:sz w:val="18"/>
              </w:rPr>
              <w:t>”</w:t>
            </w:r>
          </w:p>
          <w:p w:rsidR="00912462" w:rsidRDefault="00CB7730" w:rsidP="00A72D8C">
            <w:pPr>
              <w:rPr>
                <w:sz w:val="18"/>
              </w:rPr>
            </w:pPr>
            <w:r>
              <w:rPr>
                <w:sz w:val="18"/>
              </w:rPr>
              <w:t>“</w:t>
            </w:r>
            <w:r w:rsidR="00912462">
              <w:rPr>
                <w:sz w:val="18"/>
              </w:rPr>
              <w:t>On the Eve…</w:t>
            </w:r>
            <w:r>
              <w:rPr>
                <w:sz w:val="18"/>
              </w:rPr>
              <w:t>”</w:t>
            </w:r>
          </w:p>
          <w:p w:rsidR="00912462" w:rsidRPr="00912462" w:rsidRDefault="00CB7730" w:rsidP="00A72D8C">
            <w:pPr>
              <w:rPr>
                <w:sz w:val="18"/>
              </w:rPr>
            </w:pPr>
            <w:r>
              <w:rPr>
                <w:sz w:val="18"/>
              </w:rPr>
              <w:t>“</w:t>
            </w:r>
            <w:r w:rsidR="00912462">
              <w:rPr>
                <w:sz w:val="18"/>
              </w:rPr>
              <w:t>Long Wa</w:t>
            </w:r>
            <w:r>
              <w:rPr>
                <w:sz w:val="18"/>
              </w:rPr>
              <w:t>lk to Freedom”</w:t>
            </w:r>
          </w:p>
        </w:tc>
        <w:tc>
          <w:tcPr>
            <w:tcW w:w="3726" w:type="dxa"/>
            <w:tcBorders>
              <w:top w:val="double" w:sz="4" w:space="0" w:color="auto"/>
            </w:tcBorders>
          </w:tcPr>
          <w:p w:rsidR="00D659D8" w:rsidRDefault="00912462" w:rsidP="00A72D8C">
            <w:pPr>
              <w:rPr>
                <w:sz w:val="18"/>
              </w:rPr>
            </w:pPr>
            <w:r>
              <w:rPr>
                <w:sz w:val="18"/>
              </w:rPr>
              <w:t>Reader Response Journal</w:t>
            </w:r>
          </w:p>
          <w:p w:rsidR="008278B3" w:rsidRDefault="008278B3" w:rsidP="00A72D8C">
            <w:pPr>
              <w:rPr>
                <w:sz w:val="18"/>
              </w:rPr>
            </w:pPr>
            <w:r>
              <w:rPr>
                <w:sz w:val="18"/>
              </w:rPr>
              <w:t>Group Discussions</w:t>
            </w:r>
          </w:p>
          <w:p w:rsidR="00912462" w:rsidRDefault="00912462" w:rsidP="00A72D8C">
            <w:pPr>
              <w:rPr>
                <w:sz w:val="18"/>
              </w:rPr>
            </w:pPr>
            <w:r>
              <w:rPr>
                <w:sz w:val="18"/>
              </w:rPr>
              <w:t>Short written responses</w:t>
            </w:r>
          </w:p>
          <w:p w:rsidR="00912462" w:rsidRPr="00912462" w:rsidRDefault="00912462" w:rsidP="00A72D8C">
            <w:pPr>
              <w:rPr>
                <w:sz w:val="18"/>
              </w:rPr>
            </w:pPr>
            <w:r>
              <w:rPr>
                <w:sz w:val="18"/>
              </w:rPr>
              <w:t>Literary Argument</w:t>
            </w:r>
          </w:p>
        </w:tc>
      </w:tr>
      <w:tr w:rsidR="00D659D8" w:rsidTr="00654E40">
        <w:trPr>
          <w:trHeight w:val="989"/>
        </w:trPr>
        <w:tc>
          <w:tcPr>
            <w:tcW w:w="738" w:type="dxa"/>
            <w:tcBorders>
              <w:bottom w:val="single" w:sz="4" w:space="0" w:color="auto"/>
            </w:tcBorders>
          </w:tcPr>
          <w:p w:rsidR="00D659D8" w:rsidRDefault="00912462" w:rsidP="00A72D8C">
            <w:r>
              <w:t>2.2</w:t>
            </w:r>
          </w:p>
        </w:tc>
        <w:tc>
          <w:tcPr>
            <w:tcW w:w="3150" w:type="dxa"/>
            <w:tcBorders>
              <w:bottom w:val="single" w:sz="4" w:space="0" w:color="auto"/>
            </w:tcBorders>
          </w:tcPr>
          <w:p w:rsidR="00D659D8" w:rsidRDefault="00912462" w:rsidP="00A72D8C">
            <w:r>
              <w:t>Road to Emancipation</w:t>
            </w:r>
          </w:p>
        </w:tc>
        <w:tc>
          <w:tcPr>
            <w:tcW w:w="3294" w:type="dxa"/>
            <w:tcBorders>
              <w:bottom w:val="single" w:sz="4" w:space="0" w:color="auto"/>
            </w:tcBorders>
          </w:tcPr>
          <w:p w:rsidR="00D659D8" w:rsidRDefault="00912462" w:rsidP="00A72D8C">
            <w:pPr>
              <w:rPr>
                <w:i/>
                <w:sz w:val="18"/>
              </w:rPr>
            </w:pPr>
            <w:r w:rsidRPr="00912462">
              <w:rPr>
                <w:i/>
                <w:sz w:val="18"/>
              </w:rPr>
              <w:t>Kindred</w:t>
            </w:r>
          </w:p>
          <w:p w:rsidR="00912462" w:rsidRPr="00912462" w:rsidRDefault="00CB7730" w:rsidP="00A72D8C">
            <w:pPr>
              <w:rPr>
                <w:sz w:val="18"/>
              </w:rPr>
            </w:pPr>
            <w:r>
              <w:rPr>
                <w:sz w:val="18"/>
              </w:rPr>
              <w:t>Various Poetry of the era</w:t>
            </w:r>
          </w:p>
          <w:p w:rsidR="00912462" w:rsidRPr="00912462" w:rsidRDefault="00CB7730" w:rsidP="00A72D8C">
            <w:pPr>
              <w:rPr>
                <w:sz w:val="18"/>
              </w:rPr>
            </w:pPr>
            <w:r>
              <w:rPr>
                <w:sz w:val="18"/>
              </w:rPr>
              <w:t xml:space="preserve">“The </w:t>
            </w:r>
            <w:r w:rsidR="00912462">
              <w:rPr>
                <w:sz w:val="18"/>
              </w:rPr>
              <w:t>Gettysburg Address</w:t>
            </w:r>
            <w:r>
              <w:rPr>
                <w:sz w:val="18"/>
              </w:rPr>
              <w:t>”</w:t>
            </w:r>
            <w:r w:rsidR="00912462">
              <w:rPr>
                <w:sz w:val="18"/>
              </w:rPr>
              <w:t xml:space="preserve"> and related readings</w:t>
            </w:r>
          </w:p>
        </w:tc>
        <w:tc>
          <w:tcPr>
            <w:tcW w:w="3726" w:type="dxa"/>
            <w:tcBorders>
              <w:bottom w:val="single" w:sz="4" w:space="0" w:color="auto"/>
            </w:tcBorders>
          </w:tcPr>
          <w:p w:rsidR="00D659D8" w:rsidRDefault="00912462" w:rsidP="00A72D8C">
            <w:pPr>
              <w:rPr>
                <w:sz w:val="18"/>
              </w:rPr>
            </w:pPr>
            <w:r>
              <w:rPr>
                <w:sz w:val="18"/>
              </w:rPr>
              <w:t>Reader Response Journal</w:t>
            </w:r>
          </w:p>
          <w:p w:rsidR="008278B3" w:rsidRDefault="008278B3" w:rsidP="00A72D8C">
            <w:pPr>
              <w:rPr>
                <w:sz w:val="18"/>
              </w:rPr>
            </w:pPr>
            <w:r>
              <w:rPr>
                <w:sz w:val="18"/>
              </w:rPr>
              <w:t>Group Discussions</w:t>
            </w:r>
          </w:p>
          <w:p w:rsidR="008278B3" w:rsidRPr="00912462" w:rsidRDefault="008278B3" w:rsidP="008278B3">
            <w:pPr>
              <w:tabs>
                <w:tab w:val="right" w:pos="2178"/>
              </w:tabs>
              <w:rPr>
                <w:sz w:val="18"/>
              </w:rPr>
            </w:pPr>
            <w:r>
              <w:rPr>
                <w:sz w:val="18"/>
              </w:rPr>
              <w:t xml:space="preserve">Short written responses </w:t>
            </w:r>
            <w:r w:rsidR="00912462">
              <w:rPr>
                <w:sz w:val="18"/>
              </w:rPr>
              <w:t>Write a narrative/poem</w:t>
            </w:r>
            <w:r>
              <w:rPr>
                <w:sz w:val="18"/>
              </w:rPr>
              <w:tab/>
            </w:r>
          </w:p>
        </w:tc>
      </w:tr>
      <w:tr w:rsidR="00912462" w:rsidTr="00654E40">
        <w:trPr>
          <w:trHeight w:val="989"/>
        </w:trPr>
        <w:tc>
          <w:tcPr>
            <w:tcW w:w="738" w:type="dxa"/>
            <w:tcBorders>
              <w:bottom w:val="triple" w:sz="4" w:space="0" w:color="auto"/>
            </w:tcBorders>
          </w:tcPr>
          <w:p w:rsidR="00912462" w:rsidRDefault="00912462" w:rsidP="00A72D8C">
            <w:r>
              <w:t>2.3</w:t>
            </w:r>
          </w:p>
        </w:tc>
        <w:tc>
          <w:tcPr>
            <w:tcW w:w="3150" w:type="dxa"/>
            <w:tcBorders>
              <w:bottom w:val="triple" w:sz="4" w:space="0" w:color="auto"/>
            </w:tcBorders>
          </w:tcPr>
          <w:p w:rsidR="00912462" w:rsidRDefault="00912462" w:rsidP="00A72D8C">
            <w:r>
              <w:t>Changing Roles of Women</w:t>
            </w:r>
          </w:p>
        </w:tc>
        <w:tc>
          <w:tcPr>
            <w:tcW w:w="3294" w:type="dxa"/>
            <w:tcBorders>
              <w:bottom w:val="triple" w:sz="4" w:space="0" w:color="auto"/>
            </w:tcBorders>
          </w:tcPr>
          <w:p w:rsidR="00912462" w:rsidRPr="00912462" w:rsidRDefault="00912462" w:rsidP="00A72D8C">
            <w:pPr>
              <w:rPr>
                <w:i/>
                <w:sz w:val="18"/>
              </w:rPr>
            </w:pPr>
            <w:r w:rsidRPr="00912462">
              <w:rPr>
                <w:i/>
                <w:sz w:val="18"/>
              </w:rPr>
              <w:t>The Awakening</w:t>
            </w:r>
          </w:p>
          <w:p w:rsidR="00912462" w:rsidRDefault="00912462" w:rsidP="00A72D8C">
            <w:pPr>
              <w:rPr>
                <w:sz w:val="18"/>
              </w:rPr>
            </w:pPr>
            <w:r>
              <w:rPr>
                <w:sz w:val="18"/>
              </w:rPr>
              <w:t>“The Story of an Hour”</w:t>
            </w:r>
          </w:p>
          <w:p w:rsidR="00912462" w:rsidRDefault="00CB7730" w:rsidP="00A72D8C">
            <w:pPr>
              <w:rPr>
                <w:sz w:val="18"/>
              </w:rPr>
            </w:pPr>
            <w:r>
              <w:rPr>
                <w:sz w:val="18"/>
              </w:rPr>
              <w:t xml:space="preserve">From </w:t>
            </w:r>
            <w:r w:rsidR="00912462" w:rsidRPr="00CB7730">
              <w:rPr>
                <w:i/>
                <w:sz w:val="18"/>
              </w:rPr>
              <w:t>Women in the 19</w:t>
            </w:r>
            <w:r w:rsidR="00912462" w:rsidRPr="00CB7730">
              <w:rPr>
                <w:i/>
                <w:sz w:val="18"/>
                <w:vertAlign w:val="superscript"/>
              </w:rPr>
              <w:t>th</w:t>
            </w:r>
            <w:r w:rsidR="00912462" w:rsidRPr="00CB7730">
              <w:rPr>
                <w:i/>
                <w:sz w:val="18"/>
              </w:rPr>
              <w:t xml:space="preserve"> Century</w:t>
            </w:r>
          </w:p>
          <w:p w:rsidR="00912462" w:rsidRPr="00912462" w:rsidRDefault="00912462" w:rsidP="00A72D8C">
            <w:pPr>
              <w:rPr>
                <w:sz w:val="18"/>
              </w:rPr>
            </w:pPr>
            <w:r>
              <w:rPr>
                <w:sz w:val="18"/>
              </w:rPr>
              <w:t>“</w:t>
            </w:r>
            <w:proofErr w:type="spellStart"/>
            <w:r>
              <w:rPr>
                <w:sz w:val="18"/>
              </w:rPr>
              <w:t>Ain’t</w:t>
            </w:r>
            <w:proofErr w:type="spellEnd"/>
            <w:r>
              <w:rPr>
                <w:sz w:val="18"/>
              </w:rPr>
              <w:t xml:space="preserve"> I a Woman?”</w:t>
            </w:r>
          </w:p>
        </w:tc>
        <w:tc>
          <w:tcPr>
            <w:tcW w:w="3726" w:type="dxa"/>
            <w:tcBorders>
              <w:bottom w:val="triple" w:sz="4" w:space="0" w:color="auto"/>
            </w:tcBorders>
          </w:tcPr>
          <w:p w:rsidR="00912462" w:rsidRDefault="00912462" w:rsidP="00A72D8C">
            <w:pPr>
              <w:rPr>
                <w:sz w:val="18"/>
              </w:rPr>
            </w:pPr>
            <w:r>
              <w:rPr>
                <w:sz w:val="18"/>
              </w:rPr>
              <w:t>Reader Response Journal</w:t>
            </w:r>
          </w:p>
          <w:p w:rsidR="008278B3" w:rsidRDefault="008278B3" w:rsidP="00A72D8C">
            <w:pPr>
              <w:rPr>
                <w:sz w:val="18"/>
              </w:rPr>
            </w:pPr>
            <w:r>
              <w:rPr>
                <w:sz w:val="18"/>
              </w:rPr>
              <w:t>Group Discussions</w:t>
            </w:r>
          </w:p>
          <w:p w:rsidR="00912462" w:rsidRPr="00912462" w:rsidRDefault="00912462" w:rsidP="00A72D8C">
            <w:pPr>
              <w:rPr>
                <w:sz w:val="18"/>
              </w:rPr>
            </w:pPr>
            <w:r>
              <w:rPr>
                <w:sz w:val="18"/>
              </w:rPr>
              <w:t>Informational Essay</w:t>
            </w:r>
          </w:p>
        </w:tc>
      </w:tr>
      <w:tr w:rsidR="00A3773B" w:rsidTr="00654E40">
        <w:trPr>
          <w:trHeight w:val="652"/>
        </w:trPr>
        <w:tc>
          <w:tcPr>
            <w:tcW w:w="738" w:type="dxa"/>
            <w:tcBorders>
              <w:top w:val="triple" w:sz="4" w:space="0" w:color="auto"/>
            </w:tcBorders>
          </w:tcPr>
          <w:p w:rsidR="00A3773B" w:rsidRDefault="00654E40" w:rsidP="00A72D8C">
            <w:r>
              <w:t>3.1</w:t>
            </w:r>
          </w:p>
        </w:tc>
        <w:tc>
          <w:tcPr>
            <w:tcW w:w="3150" w:type="dxa"/>
            <w:tcBorders>
              <w:top w:val="triple" w:sz="4" w:space="0" w:color="auto"/>
            </w:tcBorders>
          </w:tcPr>
          <w:p w:rsidR="00A3773B" w:rsidRDefault="00654E40" w:rsidP="00A72D8C">
            <w:r>
              <w:t>From Realism to Naturalism: Approaching the Modern Era</w:t>
            </w:r>
          </w:p>
        </w:tc>
        <w:tc>
          <w:tcPr>
            <w:tcW w:w="3294" w:type="dxa"/>
            <w:tcBorders>
              <w:top w:val="triple" w:sz="4" w:space="0" w:color="auto"/>
            </w:tcBorders>
          </w:tcPr>
          <w:p w:rsidR="00A3773B" w:rsidRPr="00912462" w:rsidRDefault="00654E40" w:rsidP="00A72D8C">
            <w:pPr>
              <w:rPr>
                <w:i/>
                <w:sz w:val="18"/>
              </w:rPr>
            </w:pPr>
            <w:r>
              <w:rPr>
                <w:i/>
                <w:sz w:val="18"/>
              </w:rPr>
              <w:t xml:space="preserve">“To Build a Fire” </w:t>
            </w:r>
            <w:r w:rsidRPr="00654E40">
              <w:rPr>
                <w:sz w:val="18"/>
              </w:rPr>
              <w:t>by Jack London</w:t>
            </w:r>
          </w:p>
        </w:tc>
        <w:tc>
          <w:tcPr>
            <w:tcW w:w="3726" w:type="dxa"/>
            <w:tcBorders>
              <w:top w:val="triple" w:sz="4" w:space="0" w:color="auto"/>
            </w:tcBorders>
          </w:tcPr>
          <w:p w:rsidR="00A3773B" w:rsidRDefault="00654E40" w:rsidP="00A72D8C">
            <w:pPr>
              <w:rPr>
                <w:sz w:val="18"/>
              </w:rPr>
            </w:pPr>
            <w:r>
              <w:rPr>
                <w:sz w:val="18"/>
              </w:rPr>
              <w:t>Reader Response Journal</w:t>
            </w:r>
          </w:p>
          <w:p w:rsidR="00654E40" w:rsidRDefault="00654E40" w:rsidP="00A72D8C">
            <w:pPr>
              <w:rPr>
                <w:sz w:val="18"/>
              </w:rPr>
            </w:pPr>
            <w:r>
              <w:rPr>
                <w:sz w:val="18"/>
              </w:rPr>
              <w:t>Literary Argument</w:t>
            </w:r>
          </w:p>
        </w:tc>
      </w:tr>
      <w:tr w:rsidR="00A3773B" w:rsidTr="00654E40">
        <w:trPr>
          <w:trHeight w:val="755"/>
        </w:trPr>
        <w:tc>
          <w:tcPr>
            <w:tcW w:w="738" w:type="dxa"/>
            <w:tcBorders>
              <w:bottom w:val="single" w:sz="4" w:space="0" w:color="auto"/>
            </w:tcBorders>
          </w:tcPr>
          <w:p w:rsidR="00A3773B" w:rsidRDefault="00654E40" w:rsidP="00A72D8C">
            <w:r>
              <w:t>3.2</w:t>
            </w:r>
          </w:p>
        </w:tc>
        <w:tc>
          <w:tcPr>
            <w:tcW w:w="3150" w:type="dxa"/>
            <w:tcBorders>
              <w:bottom w:val="single" w:sz="4" w:space="0" w:color="auto"/>
            </w:tcBorders>
          </w:tcPr>
          <w:p w:rsidR="00A3773B" w:rsidRDefault="00654E40" w:rsidP="00A72D8C">
            <w:r>
              <w:t>The Modern Age and the Harlem Renaissance</w:t>
            </w:r>
          </w:p>
        </w:tc>
        <w:tc>
          <w:tcPr>
            <w:tcW w:w="3294" w:type="dxa"/>
            <w:tcBorders>
              <w:bottom w:val="single" w:sz="4" w:space="0" w:color="auto"/>
            </w:tcBorders>
          </w:tcPr>
          <w:p w:rsidR="00A3773B" w:rsidRPr="00654E40" w:rsidRDefault="00654E40" w:rsidP="00A72D8C">
            <w:pPr>
              <w:rPr>
                <w:sz w:val="18"/>
              </w:rPr>
            </w:pPr>
            <w:r w:rsidRPr="00654E40">
              <w:rPr>
                <w:sz w:val="18"/>
              </w:rPr>
              <w:t xml:space="preserve">Selected works by James Weldon Johnson, </w:t>
            </w:r>
            <w:proofErr w:type="spellStart"/>
            <w:r w:rsidRPr="00654E40">
              <w:rPr>
                <w:sz w:val="18"/>
              </w:rPr>
              <w:t>Zora</w:t>
            </w:r>
            <w:proofErr w:type="spellEnd"/>
            <w:r w:rsidRPr="00654E40">
              <w:rPr>
                <w:sz w:val="18"/>
              </w:rPr>
              <w:t xml:space="preserve"> Neale Hurston, and Langston Hughes</w:t>
            </w:r>
          </w:p>
        </w:tc>
        <w:tc>
          <w:tcPr>
            <w:tcW w:w="3726" w:type="dxa"/>
            <w:tcBorders>
              <w:bottom w:val="single" w:sz="4" w:space="0" w:color="auto"/>
            </w:tcBorders>
          </w:tcPr>
          <w:p w:rsidR="00654E40" w:rsidRDefault="00654E40" w:rsidP="00A72D8C">
            <w:pPr>
              <w:rPr>
                <w:sz w:val="18"/>
              </w:rPr>
            </w:pPr>
            <w:r>
              <w:rPr>
                <w:sz w:val="18"/>
              </w:rPr>
              <w:t>Reader Response Journal</w:t>
            </w:r>
          </w:p>
          <w:p w:rsidR="00654E40" w:rsidRDefault="00654E40" w:rsidP="00A72D8C">
            <w:pPr>
              <w:rPr>
                <w:sz w:val="18"/>
              </w:rPr>
            </w:pPr>
            <w:r>
              <w:rPr>
                <w:sz w:val="18"/>
              </w:rPr>
              <w:t>Group Discussions</w:t>
            </w:r>
          </w:p>
          <w:p w:rsidR="00A3773B" w:rsidRDefault="00654E40" w:rsidP="00A72D8C">
            <w:pPr>
              <w:rPr>
                <w:sz w:val="18"/>
              </w:rPr>
            </w:pPr>
            <w:r>
              <w:rPr>
                <w:sz w:val="18"/>
              </w:rPr>
              <w:t>Write a Historical Narrative</w:t>
            </w:r>
          </w:p>
        </w:tc>
      </w:tr>
      <w:tr w:rsidR="00A3773B" w:rsidTr="00654E40">
        <w:trPr>
          <w:trHeight w:val="620"/>
        </w:trPr>
        <w:tc>
          <w:tcPr>
            <w:tcW w:w="738" w:type="dxa"/>
            <w:tcBorders>
              <w:bottom w:val="double" w:sz="4" w:space="0" w:color="auto"/>
            </w:tcBorders>
          </w:tcPr>
          <w:p w:rsidR="00A3773B" w:rsidRDefault="00654E40" w:rsidP="00A72D8C">
            <w:r>
              <w:t>3.3</w:t>
            </w:r>
          </w:p>
        </w:tc>
        <w:tc>
          <w:tcPr>
            <w:tcW w:w="3150" w:type="dxa"/>
            <w:tcBorders>
              <w:bottom w:val="double" w:sz="4" w:space="0" w:color="auto"/>
            </w:tcBorders>
          </w:tcPr>
          <w:p w:rsidR="00A3773B" w:rsidRDefault="00654E40" w:rsidP="00A72D8C">
            <w:r>
              <w:t>The Modern Age and The Great Gatsby</w:t>
            </w:r>
          </w:p>
        </w:tc>
        <w:tc>
          <w:tcPr>
            <w:tcW w:w="3294" w:type="dxa"/>
            <w:tcBorders>
              <w:bottom w:val="double" w:sz="4" w:space="0" w:color="auto"/>
            </w:tcBorders>
          </w:tcPr>
          <w:p w:rsidR="00A3773B" w:rsidRPr="00654E40" w:rsidRDefault="00654E40" w:rsidP="00A72D8C">
            <w:pPr>
              <w:rPr>
                <w:sz w:val="18"/>
              </w:rPr>
            </w:pPr>
            <w:r>
              <w:rPr>
                <w:i/>
                <w:sz w:val="18"/>
              </w:rPr>
              <w:t>The Great Gatsby</w:t>
            </w:r>
            <w:r>
              <w:rPr>
                <w:sz w:val="18"/>
              </w:rPr>
              <w:t xml:space="preserve"> by F. Scott Fitzgerald</w:t>
            </w:r>
          </w:p>
          <w:p w:rsidR="00654E40" w:rsidRPr="00912462" w:rsidRDefault="00654E40" w:rsidP="00A72D8C">
            <w:pPr>
              <w:rPr>
                <w:i/>
                <w:sz w:val="18"/>
              </w:rPr>
            </w:pPr>
          </w:p>
        </w:tc>
        <w:tc>
          <w:tcPr>
            <w:tcW w:w="3726" w:type="dxa"/>
            <w:tcBorders>
              <w:bottom w:val="double" w:sz="4" w:space="0" w:color="auto"/>
            </w:tcBorders>
          </w:tcPr>
          <w:p w:rsidR="00A3773B" w:rsidRDefault="00654E40" w:rsidP="00A72D8C">
            <w:pPr>
              <w:rPr>
                <w:sz w:val="18"/>
              </w:rPr>
            </w:pPr>
            <w:r>
              <w:rPr>
                <w:sz w:val="18"/>
              </w:rPr>
              <w:t>Reader Response Journal</w:t>
            </w:r>
          </w:p>
          <w:p w:rsidR="00654E40" w:rsidRDefault="00654E40" w:rsidP="00A72D8C">
            <w:pPr>
              <w:rPr>
                <w:sz w:val="18"/>
              </w:rPr>
            </w:pPr>
            <w:r>
              <w:rPr>
                <w:sz w:val="18"/>
              </w:rPr>
              <w:t>Literary Argument</w:t>
            </w:r>
          </w:p>
        </w:tc>
      </w:tr>
      <w:tr w:rsidR="00654E40" w:rsidTr="00654E40">
        <w:trPr>
          <w:trHeight w:val="609"/>
        </w:trPr>
        <w:tc>
          <w:tcPr>
            <w:tcW w:w="738" w:type="dxa"/>
            <w:tcBorders>
              <w:top w:val="double" w:sz="4" w:space="0" w:color="auto"/>
            </w:tcBorders>
          </w:tcPr>
          <w:p w:rsidR="00654E40" w:rsidRDefault="00654E40" w:rsidP="00A72D8C">
            <w:r>
              <w:t>4.1</w:t>
            </w:r>
          </w:p>
        </w:tc>
        <w:tc>
          <w:tcPr>
            <w:tcW w:w="3150" w:type="dxa"/>
            <w:tcBorders>
              <w:top w:val="double" w:sz="4" w:space="0" w:color="auto"/>
            </w:tcBorders>
          </w:tcPr>
          <w:p w:rsidR="00654E40" w:rsidRDefault="00654E40" w:rsidP="00A72D8C">
            <w:r>
              <w:t>Contemporary Drama</w:t>
            </w:r>
          </w:p>
        </w:tc>
        <w:tc>
          <w:tcPr>
            <w:tcW w:w="3294" w:type="dxa"/>
            <w:tcBorders>
              <w:top w:val="double" w:sz="4" w:space="0" w:color="auto"/>
            </w:tcBorders>
          </w:tcPr>
          <w:p w:rsidR="00654E40" w:rsidRPr="00912462" w:rsidRDefault="00654E40" w:rsidP="00A72D8C">
            <w:pPr>
              <w:rPr>
                <w:i/>
                <w:sz w:val="18"/>
              </w:rPr>
            </w:pPr>
            <w:r>
              <w:rPr>
                <w:i/>
                <w:sz w:val="18"/>
              </w:rPr>
              <w:t xml:space="preserve">Fences </w:t>
            </w:r>
            <w:r w:rsidRPr="00654E40">
              <w:rPr>
                <w:sz w:val="18"/>
              </w:rPr>
              <w:t>by August Wilson</w:t>
            </w:r>
          </w:p>
        </w:tc>
        <w:tc>
          <w:tcPr>
            <w:tcW w:w="3726" w:type="dxa"/>
            <w:tcBorders>
              <w:top w:val="double" w:sz="4" w:space="0" w:color="auto"/>
            </w:tcBorders>
          </w:tcPr>
          <w:p w:rsidR="00654E40" w:rsidRDefault="00654E40" w:rsidP="00A72D8C">
            <w:pPr>
              <w:rPr>
                <w:sz w:val="18"/>
              </w:rPr>
            </w:pPr>
            <w:r>
              <w:rPr>
                <w:sz w:val="18"/>
              </w:rPr>
              <w:t>Dialectical Journal</w:t>
            </w:r>
          </w:p>
          <w:p w:rsidR="00654E40" w:rsidRDefault="00654E40" w:rsidP="00A72D8C">
            <w:pPr>
              <w:rPr>
                <w:sz w:val="18"/>
              </w:rPr>
            </w:pPr>
            <w:r>
              <w:rPr>
                <w:sz w:val="18"/>
              </w:rPr>
              <w:t>Informational Essay</w:t>
            </w:r>
          </w:p>
        </w:tc>
      </w:tr>
      <w:tr w:rsidR="00654E40" w:rsidTr="00654E40">
        <w:trPr>
          <w:trHeight w:val="611"/>
        </w:trPr>
        <w:tc>
          <w:tcPr>
            <w:tcW w:w="738" w:type="dxa"/>
          </w:tcPr>
          <w:p w:rsidR="00654E40" w:rsidRDefault="00654E40" w:rsidP="00A72D8C">
            <w:r>
              <w:t>4.2</w:t>
            </w:r>
          </w:p>
        </w:tc>
        <w:tc>
          <w:tcPr>
            <w:tcW w:w="3150" w:type="dxa"/>
          </w:tcPr>
          <w:p w:rsidR="00654E40" w:rsidRDefault="00654E40" w:rsidP="00A72D8C">
            <w:r>
              <w:t>Contemporary Perspectives</w:t>
            </w:r>
          </w:p>
        </w:tc>
        <w:tc>
          <w:tcPr>
            <w:tcW w:w="3294" w:type="dxa"/>
          </w:tcPr>
          <w:p w:rsidR="00654E40" w:rsidRPr="00912462" w:rsidRDefault="00654E40" w:rsidP="00A72D8C">
            <w:pPr>
              <w:rPr>
                <w:i/>
                <w:sz w:val="18"/>
              </w:rPr>
            </w:pPr>
            <w:r w:rsidRPr="00654E40">
              <w:rPr>
                <w:i/>
                <w:sz w:val="18"/>
              </w:rPr>
              <w:t xml:space="preserve">Always Running: La Vida </w:t>
            </w:r>
            <w:proofErr w:type="spellStart"/>
            <w:r w:rsidRPr="00654E40">
              <w:rPr>
                <w:i/>
                <w:sz w:val="18"/>
              </w:rPr>
              <w:t>Loca</w:t>
            </w:r>
            <w:proofErr w:type="spellEnd"/>
            <w:r w:rsidRPr="00654E40">
              <w:rPr>
                <w:i/>
                <w:sz w:val="18"/>
              </w:rPr>
              <w:t>: Gang Days in LA</w:t>
            </w:r>
            <w:r w:rsidRPr="00654E40">
              <w:rPr>
                <w:sz w:val="18"/>
              </w:rPr>
              <w:t xml:space="preserve">, by Luis J. </w:t>
            </w:r>
            <w:proofErr w:type="spellStart"/>
            <w:r w:rsidRPr="00654E40">
              <w:rPr>
                <w:sz w:val="18"/>
              </w:rPr>
              <w:t>Rodríguez</w:t>
            </w:r>
            <w:proofErr w:type="spellEnd"/>
          </w:p>
        </w:tc>
        <w:tc>
          <w:tcPr>
            <w:tcW w:w="3726" w:type="dxa"/>
          </w:tcPr>
          <w:p w:rsidR="00654E40" w:rsidRDefault="00654E40" w:rsidP="00A72D8C">
            <w:pPr>
              <w:rPr>
                <w:sz w:val="18"/>
              </w:rPr>
            </w:pPr>
            <w:r>
              <w:rPr>
                <w:sz w:val="18"/>
              </w:rPr>
              <w:t>Reader Response Journal</w:t>
            </w:r>
          </w:p>
          <w:p w:rsidR="00654E40" w:rsidRDefault="00654E40" w:rsidP="00A72D8C">
            <w:pPr>
              <w:rPr>
                <w:sz w:val="18"/>
              </w:rPr>
            </w:pPr>
            <w:r>
              <w:rPr>
                <w:sz w:val="18"/>
              </w:rPr>
              <w:t>Informational Research Report</w:t>
            </w:r>
          </w:p>
        </w:tc>
      </w:tr>
    </w:tbl>
    <w:p w:rsidR="00A72D8C" w:rsidRDefault="00A72D8C" w:rsidP="00A72D8C"/>
    <w:p w:rsidR="00A72D8C" w:rsidRDefault="00A72D8C" w:rsidP="00A72D8C"/>
    <w:sectPr w:rsidR="00A72D8C" w:rsidSect="00654E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A72D8C"/>
    <w:rsid w:val="000D62A4"/>
    <w:rsid w:val="000F5F77"/>
    <w:rsid w:val="002342FD"/>
    <w:rsid w:val="004A0304"/>
    <w:rsid w:val="004C46D0"/>
    <w:rsid w:val="005247C1"/>
    <w:rsid w:val="0065258A"/>
    <w:rsid w:val="00654E40"/>
    <w:rsid w:val="007B6BA8"/>
    <w:rsid w:val="008278B3"/>
    <w:rsid w:val="00912462"/>
    <w:rsid w:val="00926B82"/>
    <w:rsid w:val="00A3773B"/>
    <w:rsid w:val="00A72D8C"/>
    <w:rsid w:val="00B753EC"/>
    <w:rsid w:val="00CB7730"/>
    <w:rsid w:val="00D659D8"/>
    <w:rsid w:val="00FB3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EC"/>
  </w:style>
  <w:style w:type="paragraph" w:styleId="Heading1">
    <w:name w:val="heading 1"/>
    <w:basedOn w:val="Normal"/>
    <w:next w:val="Normal"/>
    <w:link w:val="Heading1Char"/>
    <w:uiPriority w:val="9"/>
    <w:qFormat/>
    <w:rsid w:val="007B6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2D8C"/>
    <w:rPr>
      <w:color w:val="0000FF" w:themeColor="hyperlink"/>
      <w:u w:val="single"/>
    </w:rPr>
  </w:style>
  <w:style w:type="paragraph" w:styleId="NoSpacing">
    <w:name w:val="No Spacing"/>
    <w:uiPriority w:val="1"/>
    <w:qFormat/>
    <w:rsid w:val="007B6BA8"/>
    <w:pPr>
      <w:spacing w:after="0" w:line="240" w:lineRule="auto"/>
    </w:pPr>
  </w:style>
  <w:style w:type="character" w:customStyle="1" w:styleId="Heading1Char">
    <w:name w:val="Heading 1 Char"/>
    <w:basedOn w:val="DefaultParagraphFont"/>
    <w:link w:val="Heading1"/>
    <w:uiPriority w:val="9"/>
    <w:rsid w:val="007B6B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tephanie.Morrison@pp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4B98-006F-4859-ABA4-7A551046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MamaLaptop</dc:creator>
  <cp:lastModifiedBy>MamaLaptop</cp:lastModifiedBy>
  <cp:revision>6</cp:revision>
  <dcterms:created xsi:type="dcterms:W3CDTF">2013-08-28T01:23:00Z</dcterms:created>
  <dcterms:modified xsi:type="dcterms:W3CDTF">2013-08-28T20:49:00Z</dcterms:modified>
</cp:coreProperties>
</file>